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925E" w14:textId="77777777" w:rsidR="007D2859" w:rsidRDefault="007D2859" w:rsidP="007D2859">
      <w:pPr>
        <w:spacing w:after="160" w:line="259" w:lineRule="auto"/>
        <w:rPr>
          <w:rFonts w:ascii="Calibri Light" w:hAnsi="Calibri Light" w:cs="Calibri Light"/>
          <w:b/>
          <w:bCs/>
        </w:rPr>
      </w:pPr>
    </w:p>
    <w:p w14:paraId="4D56D33A" w14:textId="77777777" w:rsidR="001B5CF6" w:rsidRPr="001B5CF6" w:rsidRDefault="001B5CF6" w:rsidP="001B5CF6">
      <w:pPr>
        <w:spacing w:after="160" w:line="259" w:lineRule="auto"/>
        <w:rPr>
          <w:rFonts w:ascii="Yu Gothic UI Semibold" w:eastAsia="Yu Gothic UI Semibold" w:hAnsi="Yu Gothic UI Semibold" w:cs="Calibri Light"/>
          <w:sz w:val="22"/>
          <w:szCs w:val="22"/>
        </w:rPr>
      </w:pPr>
      <w:bookmarkStart w:id="0" w:name="_Toc171669605"/>
      <w:bookmarkStart w:id="1" w:name="_Toc171669762"/>
      <w:bookmarkStart w:id="2" w:name="_Toc172209603"/>
      <w:r w:rsidRPr="001B5CF6">
        <w:rPr>
          <w:rFonts w:ascii="Yu Gothic UI Semibold" w:eastAsia="Yu Gothic UI Semibold" w:hAnsi="Yu Gothic UI Semibold" w:cs="Calibri Light"/>
          <w:sz w:val="22"/>
          <w:szCs w:val="22"/>
        </w:rPr>
        <w:t>ALLEGATO 5 – MODALITÀ DI RIDUZIONI ED ESCLUSIONI DAI CONTRIBUTI PER VIOLAZIONI DI IMPEGNI E ALTRI OBBLIGHI</w:t>
      </w:r>
      <w:bookmarkEnd w:id="0"/>
      <w:bookmarkEnd w:id="1"/>
      <w:bookmarkEnd w:id="2"/>
    </w:p>
    <w:p w14:paraId="16F224B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6277A013"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MODALITÀ DI RIDUZIONI ED ESCLUSIONI DAL CONTRIBUTO PER VIOLAZIONI DI IMPEGNI ED ALTRI OBBLIGHI</w:t>
      </w:r>
    </w:p>
    <w:p w14:paraId="2244F510" w14:textId="2DF7A33C" w:rsidR="001B5CF6" w:rsidRPr="001B5CF6" w:rsidRDefault="001B5CF6" w:rsidP="001C25C1">
      <w:pPr>
        <w:spacing w:after="160" w:line="259" w:lineRule="auto"/>
        <w:rPr>
          <w:rFonts w:ascii="Yu Gothic UI Semibold" w:eastAsia="Yu Gothic UI Semibold" w:hAnsi="Yu Gothic UI Semibold" w:cs="Calibri Light"/>
          <w:b/>
          <w:bCs/>
          <w:sz w:val="21"/>
          <w:szCs w:val="21"/>
        </w:rPr>
      </w:pPr>
      <w:r w:rsidRPr="001B5CF6">
        <w:rPr>
          <w:rFonts w:ascii="Yu Gothic UI Semibold" w:eastAsia="Yu Gothic UI Semibold" w:hAnsi="Yu Gothic UI Semibold" w:cs="Calibri Light"/>
          <w:b/>
          <w:bCs/>
          <w:sz w:val="21"/>
          <w:szCs w:val="21"/>
        </w:rPr>
        <w:t>INTERVENTO SRD0</w:t>
      </w:r>
      <w:r w:rsidR="001C25C1">
        <w:rPr>
          <w:rFonts w:ascii="Yu Gothic UI Semibold" w:eastAsia="Yu Gothic UI Semibold" w:hAnsi="Yu Gothic UI Semibold" w:cs="Calibri Light"/>
          <w:b/>
          <w:bCs/>
          <w:sz w:val="21"/>
          <w:szCs w:val="21"/>
        </w:rPr>
        <w:t>9</w:t>
      </w:r>
      <w:r w:rsidRPr="001B5CF6">
        <w:rPr>
          <w:rFonts w:ascii="Yu Gothic UI Semibold" w:eastAsia="Yu Gothic UI Semibold" w:hAnsi="Yu Gothic UI Semibold" w:cs="Calibri Light"/>
          <w:b/>
          <w:bCs/>
          <w:sz w:val="21"/>
          <w:szCs w:val="21"/>
        </w:rPr>
        <w:t xml:space="preserve"> “</w:t>
      </w:r>
      <w:r w:rsidR="001C25C1" w:rsidRPr="001C25C1">
        <w:rPr>
          <w:rFonts w:ascii="Yu Gothic UI Semibold" w:eastAsia="Yu Gothic UI Semibold" w:hAnsi="Yu Gothic UI Semibold" w:cs="Calibri Light"/>
          <w:b/>
          <w:bCs/>
          <w:sz w:val="21"/>
          <w:szCs w:val="21"/>
        </w:rPr>
        <w:t xml:space="preserve">SERVIZI PER LO SVILUPPO DELLA POPOLAZIONE RURALE </w:t>
      </w:r>
      <w:r w:rsidR="001C25C1">
        <w:rPr>
          <w:rFonts w:ascii="Yu Gothic UI Semibold" w:eastAsia="Yu Gothic UI Semibold" w:hAnsi="Yu Gothic UI Semibold" w:cs="Calibri Light"/>
          <w:b/>
          <w:bCs/>
          <w:sz w:val="21"/>
          <w:szCs w:val="21"/>
        </w:rPr>
        <w:t xml:space="preserve">- </w:t>
      </w:r>
      <w:r w:rsidR="001C25C1" w:rsidRPr="001C25C1">
        <w:rPr>
          <w:rFonts w:ascii="Yu Gothic UI Semibold" w:eastAsia="Yu Gothic UI Semibold" w:hAnsi="Yu Gothic UI Semibold" w:cs="Calibri Light"/>
          <w:b/>
          <w:bCs/>
          <w:sz w:val="21"/>
          <w:szCs w:val="21"/>
        </w:rPr>
        <w:t>AMBITO 1</w:t>
      </w:r>
      <w:r w:rsidR="001C25C1" w:rsidRPr="001B5CF6">
        <w:rPr>
          <w:rFonts w:ascii="Yu Gothic UI Semibold" w:eastAsia="Yu Gothic UI Semibold" w:hAnsi="Yu Gothic UI Semibold" w:cs="Calibri Light"/>
          <w:b/>
          <w:bCs/>
          <w:sz w:val="21"/>
          <w:szCs w:val="21"/>
        </w:rPr>
        <w:t>”</w:t>
      </w:r>
    </w:p>
    <w:p w14:paraId="4A7A1977"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PREMESSA</w:t>
      </w:r>
    </w:p>
    <w:p w14:paraId="492FBBF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Decreto del Ministero dell’Agricoltura, della sovranità alimentare e delle foreste n. 93348 del 26 febbraio 2024 </w:t>
      </w:r>
      <w:bookmarkStart w:id="3" w:name="_Hlk160443145"/>
      <w:r w:rsidRPr="001B5CF6">
        <w:rPr>
          <w:rFonts w:ascii="Yu Gothic UI" w:eastAsia="Yu Gothic UI" w:hAnsi="Yu Gothic UI" w:cs="Calibri Light"/>
          <w:sz w:val="22"/>
          <w:szCs w:val="22"/>
        </w:rPr>
        <w:t xml:space="preserve">(di seguito D.M. 93348/2024), avente </w:t>
      </w:r>
      <w:bookmarkEnd w:id="3"/>
      <w:r w:rsidRPr="001B5CF6">
        <w:rPr>
          <w:rFonts w:ascii="Yu Gothic UI" w:eastAsia="Yu Gothic UI" w:hAnsi="Yu Gothic UI" w:cs="Calibri Light"/>
          <w:sz w:val="22"/>
          <w:szCs w:val="22"/>
        </w:rPr>
        <w:t xml:space="preserve">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w:t>
      </w:r>
      <w:bookmarkStart w:id="4" w:name="_Hlk160447003"/>
      <w:r w:rsidRPr="001B5CF6">
        <w:rPr>
          <w:rFonts w:ascii="Yu Gothic UI" w:eastAsia="Yu Gothic UI" w:hAnsi="Yu Gothic UI" w:cs="Calibri Light"/>
          <w:sz w:val="22"/>
          <w:szCs w:val="22"/>
        </w:rPr>
        <w:t xml:space="preserve">2023, n. 42 (di seguito D. lgs. n. 42/2023), </w:t>
      </w:r>
      <w:bookmarkEnd w:id="4"/>
      <w:r w:rsidRPr="001B5CF6">
        <w:rPr>
          <w:rFonts w:ascii="Yu Gothic UI" w:eastAsia="Yu Gothic UI" w:hAnsi="Yu Gothic UI" w:cs="Calibri Light"/>
          <w:sz w:val="22"/>
          <w:szCs w:val="22"/>
        </w:rPr>
        <w:t>individuando, tra l’altro, la metodologia di calcolo delle sanzioni amministrative, intese come riduzioni ed esclusioni dai pagamenti previsti dal Regolamento (UE) n. 2021/2115, concessi o da concedere al beneficiario interessato.</w:t>
      </w:r>
    </w:p>
    <w:p w14:paraId="474B46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quanto riguarda gli interventi non connessi alle superfici e agli animali, il sopracitato D.M., all’articolo 15, comma 8, demanda alle Autorità di gestione regionali/provinciali del Piano strategico nazionale della PAC 2023-2027 (di seguito PSP 2023-2027), sentiti i rispettivi Organismi Pagatori, l’emanazione di specifici provvedimenti relativi all’individuazione:</w:t>
      </w:r>
    </w:p>
    <w:p w14:paraId="2DD01CD1"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delle fattispecie di violazioni di impegni riferiti agli interventi/azioni; </w:t>
      </w:r>
    </w:p>
    <w:p w14:paraId="23EE4A0E"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livelli della gravità, entità e durata di ciascuna violazione ai sensi dell’Allegato </w:t>
      </w:r>
      <w:proofErr w:type="gramStart"/>
      <w:r w:rsidRPr="001B5CF6">
        <w:rPr>
          <w:rFonts w:ascii="Yu Gothic UI" w:eastAsia="Yu Gothic UI" w:hAnsi="Yu Gothic UI" w:cs="Calibri Light"/>
          <w:sz w:val="22"/>
          <w:szCs w:val="22"/>
        </w:rPr>
        <w:t>5</w:t>
      </w:r>
      <w:proofErr w:type="gramEnd"/>
      <w:r w:rsidRPr="001B5CF6">
        <w:rPr>
          <w:rFonts w:ascii="Yu Gothic UI" w:eastAsia="Yu Gothic UI" w:hAnsi="Yu Gothic UI" w:cs="Calibri Light"/>
          <w:sz w:val="22"/>
          <w:szCs w:val="22"/>
        </w:rPr>
        <w:t xml:space="preserve"> del D.M. stesso; </w:t>
      </w:r>
    </w:p>
    <w:p w14:paraId="079BC38C"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che pregiudicano il conseguimento dell’obiettivo dell’Intervento e che comportano l’esclusione o il recupero dal sostegno previsto dall’Intervento stesso; </w:t>
      </w:r>
    </w:p>
    <w:p w14:paraId="7DA977C5"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di lieve entità per i quali, a fronte di adeguamento tramite azione correttiva, la sanzione non è applicata. </w:t>
      </w:r>
    </w:p>
    <w:p w14:paraId="6964BD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Pertanto, il presente documento:</w:t>
      </w:r>
    </w:p>
    <w:p w14:paraId="58BFDD43" w14:textId="5DB001FE" w:rsidR="001B5CF6" w:rsidRPr="001C25C1" w:rsidRDefault="001B5CF6" w:rsidP="001C25C1">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lastRenderedPageBreak/>
        <w:t>disciplina a livello regionale l’applicazione di quanto previsto dall’articolo 15 del D.M. 93348/2024, con riferimento all’Intervento SRD0</w:t>
      </w:r>
      <w:r w:rsidR="001C25C1">
        <w:rPr>
          <w:rFonts w:ascii="Yu Gothic UI" w:eastAsia="Yu Gothic UI" w:hAnsi="Yu Gothic UI" w:cs="Calibri Light"/>
          <w:sz w:val="22"/>
          <w:szCs w:val="22"/>
        </w:rPr>
        <w:t>9</w:t>
      </w:r>
      <w:r w:rsidRPr="001B5CF6">
        <w:rPr>
          <w:rFonts w:ascii="Yu Gothic UI" w:eastAsia="Yu Gothic UI" w:hAnsi="Yu Gothic UI" w:cs="Calibri Light"/>
          <w:sz w:val="22"/>
          <w:szCs w:val="22"/>
        </w:rPr>
        <w:t xml:space="preserve"> - </w:t>
      </w:r>
      <w:r w:rsidR="001C25C1" w:rsidRPr="001C25C1">
        <w:rPr>
          <w:rFonts w:ascii="Yu Gothic UI" w:eastAsia="Yu Gothic UI" w:hAnsi="Yu Gothic UI" w:cs="Calibri Light"/>
          <w:sz w:val="22"/>
          <w:szCs w:val="22"/>
        </w:rPr>
        <w:t xml:space="preserve">Servizi per lo sviluppo della popolazione rurale </w:t>
      </w:r>
      <w:r w:rsidR="001C25C1">
        <w:rPr>
          <w:rFonts w:ascii="Yu Gothic UI" w:eastAsia="Yu Gothic UI" w:hAnsi="Yu Gothic UI" w:cs="Calibri Light"/>
          <w:sz w:val="22"/>
          <w:szCs w:val="22"/>
        </w:rPr>
        <w:t xml:space="preserve">- </w:t>
      </w:r>
      <w:r w:rsidR="001C25C1" w:rsidRPr="001C25C1">
        <w:rPr>
          <w:rFonts w:ascii="Yu Gothic UI" w:eastAsia="Yu Gothic UI" w:hAnsi="Yu Gothic UI" w:cs="Calibri Light"/>
          <w:sz w:val="22"/>
          <w:szCs w:val="22"/>
        </w:rPr>
        <w:t>A</w:t>
      </w:r>
      <w:r w:rsidR="001C25C1">
        <w:rPr>
          <w:rFonts w:ascii="Yu Gothic UI" w:eastAsia="Yu Gothic UI" w:hAnsi="Yu Gothic UI" w:cs="Calibri Light"/>
          <w:sz w:val="22"/>
          <w:szCs w:val="22"/>
        </w:rPr>
        <w:t>mbito</w:t>
      </w:r>
      <w:r w:rsidR="001C25C1" w:rsidRPr="001C25C1">
        <w:rPr>
          <w:rFonts w:ascii="Yu Gothic UI" w:eastAsia="Yu Gothic UI" w:hAnsi="Yu Gothic UI" w:cs="Calibri Light"/>
          <w:sz w:val="22"/>
          <w:szCs w:val="22"/>
        </w:rPr>
        <w:t xml:space="preserve"> 1</w:t>
      </w:r>
      <w:r w:rsidRPr="001C25C1">
        <w:rPr>
          <w:rFonts w:ascii="Yu Gothic UI" w:eastAsia="Yu Gothic UI" w:hAnsi="Yu Gothic UI" w:cs="Calibri Light"/>
          <w:sz w:val="22"/>
          <w:szCs w:val="22"/>
        </w:rPr>
        <w:t>;</w:t>
      </w:r>
    </w:p>
    <w:p w14:paraId="53983173" w14:textId="77777777"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riassume i casi di inosservanze/inadempienze che determinano una riduzione o esclusione del contributo concesso o da concedere al beneficiario.</w:t>
      </w:r>
    </w:p>
    <w:p w14:paraId="10ADE804"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7AAA8FC1"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DEFINIZIONI </w:t>
      </w:r>
      <w:bookmarkStart w:id="5" w:name="_Toc472508198"/>
      <w:bookmarkStart w:id="6" w:name="_Toc74669562"/>
    </w:p>
    <w:p w14:paraId="7C59E90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AZIONE CORRETTIVA - intervento che il beneficiario deve eseguire per sanare un’inosservanza ad un impegno, che non pregiudica la realizzazione delle finalità generali dell’intervento. A fronte di adeguamento tramite azione correttiva, la sanzione non viene applicata.</w:t>
      </w:r>
    </w:p>
    <w:p w14:paraId="204EA75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DELL’INOSSERVANZA: rilevanza delle conseguenze dell’inosservanza alla luce degli obiettivi del requisito o della norma che non sono stati rispettati (articolo 2, D.M. 93348/2024).</w:t>
      </w:r>
    </w:p>
    <w:p w14:paraId="04775635"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IMPEGNO: vincolo che sottoscrive il beneficiario quando aderisce a un Intervento del PSP 2023 - 2027. Il mancato rispetto di un impegno comporta la riduzione dell’importo dell’aiuto e può portare fino all’esclusione dal contributo.</w:t>
      </w:r>
    </w:p>
    <w:p w14:paraId="7132E44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qualsiasi irregolarità o inadempienza per mancato rispetto degli impegni o degli obblighi previsti dall’Intervento (articolo 2, D.M. 93348/2024).</w:t>
      </w:r>
    </w:p>
    <w:p w14:paraId="486D4EE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INTERVENTO: strumento di sostegno del PSP 2023-2027.</w:t>
      </w:r>
    </w:p>
    <w:p w14:paraId="2478507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MONTANTE A CUI SI APPLICA LA SANZIONE: importo spettante al beneficiario a cui si applica la sanzione. Il montante può essere rappresentato dall’importo dell’intero Intervento o di una sola Azione, se prevista.</w:t>
      </w:r>
    </w:p>
    <w:p w14:paraId="36B4356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PERSISTENZA o DURATA DELL’INOSSERVANZA: parametro dipendente in particolare dal periodo di tempo nel corso del quale ne perdura l’effetto dell’inosservanza o dalla possibilità di eliminarne l’effetto con mezzi ragionevoli (articolo 2, D.M. 93348/2024).</w:t>
      </w:r>
    </w:p>
    <w:p w14:paraId="3A70BB0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PORTATA o ENTITÀ DELL’INOSSERVANZA DI UN IMPEGNO: impatto dell’inosservanza che può essere limitato all’azienda oppure più ampio (articolo 2, D.M. 93348/2024).</w:t>
      </w:r>
    </w:p>
    <w:p w14:paraId="11C2FD5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REVOCA: recupero totale o parziale del sostegno erogato sia in forma di anticipo che di saldo, di pagamento di rate, o di pagamento annuale.</w:t>
      </w:r>
    </w:p>
    <w:p w14:paraId="007EB720"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 CONTRIBUTO PER MANCATO RISPETTO DEGLI IMPEGNI DI INTERVENTO: riduzione percentuale del contributo calcolata in base a Gravità-Entità-Durata e Ripetizione (articolo 15, D. lgs. n. 42/2023).</w:t>
      </w:r>
    </w:p>
    <w:p w14:paraId="1843EE0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DELL’IMPORTO TOTALE DELL’AIUTO: riduzione dell’importo dell’aiuto cui il beneficiario ha diritto che può portare fino all’esclusione dall’importo stesso.</w:t>
      </w:r>
    </w:p>
    <w:p w14:paraId="010FBDF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RIPETIZIONE DI UN’INADEMPIENZA DI UN IMPEGNO: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53F6906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AMMINISTRATIVA: una riduzione dell’importo dell’aiuto richiesto con la domanda di sostegno/pagamento che può portare fino all’esclusione dall’importo stesso.</w:t>
      </w:r>
    </w:p>
    <w:p w14:paraId="350E399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riduzione o esclusione dei pagamenti previsti dal Regolamento (UE) n. 2021/2115, concessi o da concedere al beneficiario interessato (articolo 2, D.M.93348/2024).</w:t>
      </w:r>
    </w:p>
    <w:p w14:paraId="7DC50B3B"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0B4CD66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RIDUZIONI ED ESCLUSIONI DAL CONTRIBUTO IN CASO DI MANCATO RISPETTO DELLE CONDIZIONI DI AMMISSIBILITA’</w:t>
      </w:r>
      <w:bookmarkEnd w:id="5"/>
      <w:r w:rsidRPr="001B5CF6">
        <w:rPr>
          <w:rFonts w:ascii="Yu Gothic UI Semibold" w:eastAsia="Yu Gothic UI Semibold" w:hAnsi="Yu Gothic UI Semibold" w:cs="Calibri Light"/>
          <w:b/>
          <w:bCs/>
          <w:sz w:val="22"/>
          <w:szCs w:val="22"/>
          <w:u w:val="single"/>
        </w:rPr>
        <w:t xml:space="preserve"> </w:t>
      </w:r>
      <w:bookmarkEnd w:id="6"/>
    </w:p>
    <w:p w14:paraId="1DCA5D4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sensi dell’articolo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sostegno e di pagamento, nelle fasi istruttorie e di controllo (ammissibilità, pagamento I rata, pagamento II rata, controlli in loco ed ex post).</w:t>
      </w:r>
    </w:p>
    <w:p w14:paraId="77692C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condizioni previste dalle disposizioni attuative per presentare la domanda devono essere mantenute per tutto il periodo di impegno.</w:t>
      </w:r>
    </w:p>
    <w:p w14:paraId="18D0D4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Qualora venga richiesto il cambio del beneficiario del contributo, il subentrante deve possedere i requisiti oggettivi e soggettivi necessari per l’accesso al contributo.</w:t>
      </w:r>
    </w:p>
    <w:p w14:paraId="1E6898BE"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2DB8750F"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bookmarkStart w:id="7" w:name="_Hlk163129473"/>
      <w:r w:rsidRPr="001B5CF6">
        <w:rPr>
          <w:rFonts w:ascii="Yu Gothic UI Semibold" w:eastAsia="Yu Gothic UI Semibold" w:hAnsi="Yu Gothic UI Semibold" w:cs="Calibri Light"/>
          <w:b/>
          <w:bCs/>
          <w:sz w:val="22"/>
          <w:szCs w:val="22"/>
          <w:u w:val="single"/>
        </w:rPr>
        <w:t xml:space="preserve">RIDUZIONI ED ESCLUSIONI DAL CONTRIBUTO IN CASO DI MANCATO RISPETTO DEGLI IMPEGNI SPECIFICI DELL’INTERVENTO </w:t>
      </w:r>
    </w:p>
    <w:bookmarkEnd w:id="7"/>
    <w:p w14:paraId="186F9798"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beneficiario al momento della presentazione della domanda di sostegno si assume gli impegni previsti dalle disposizioni attuative e gli altri obblighi di Intervento. </w:t>
      </w:r>
    </w:p>
    <w:p w14:paraId="0C175F3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 caso di violazione di impegni e obblighi viene applicata all’importo complessivo ammesso, erogato o da erogare, una riduzione o l’esclusione, come di seguito specificato.</w:t>
      </w:r>
    </w:p>
    <w:p w14:paraId="77AC6E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riduzioni o esclusioni dei pagamenti previsti dal Regolamento (UE) 2021/2115, concessi o da concedere al beneficiario, vengono di seguito definite sanzioni.</w:t>
      </w:r>
    </w:p>
    <w:p w14:paraId="2D27C7B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sanzioni non si applicano nei seguenti casi (articolo 1, D.M. n. 93348/2024):</w:t>
      </w:r>
    </w:p>
    <w:p w14:paraId="6A26C1D3"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un errore dell’Organismo pagatore competente o di altra autorità, ove l’errore non poteva essere ragionevolmente individuato dal beneficiario;</w:t>
      </w:r>
    </w:p>
    <w:p w14:paraId="6BE6BAE1"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non superiore a 100 euro;</w:t>
      </w:r>
    </w:p>
    <w:p w14:paraId="0D9C33EA"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cause di forza maggiore o a circostanze eccezionali di cui all’articolo 3 del Regolamento (UE) 2021/2116.</w:t>
      </w:r>
    </w:p>
    <w:p w14:paraId="3C805A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ciascuna violazione relativa a impegni o a gruppi di impegni previsti dalle disposizioni attuative, la percentuale della riduzione è determinata in base alla gravità, entità e durata, secondo le modalità definite nell’allegato 5 del D.M. n. 93348/2024 – “Riduzioni per la violazione di impegni e altri obblighi (di seguito Impegni) per operazioni non connesse alle superfici e gli animali (articolo 15)”.</w:t>
      </w:r>
    </w:p>
    <w:p w14:paraId="2315CC1D" w14:textId="77777777" w:rsidR="001B5CF6" w:rsidRPr="001B5CF6" w:rsidRDefault="001B5CF6" w:rsidP="001B5CF6">
      <w:pPr>
        <w:spacing w:after="160" w:line="259" w:lineRule="auto"/>
        <w:rPr>
          <w:rFonts w:ascii="Yu Gothic UI Semibold" w:eastAsia="Yu Gothic UI Semibold" w:hAnsi="Yu Gothic UI Semibold" w:cs="Calibri Light"/>
          <w:b/>
          <w:bCs/>
          <w:i/>
          <w:iCs/>
          <w:sz w:val="22"/>
          <w:szCs w:val="22"/>
        </w:rPr>
      </w:pPr>
    </w:p>
    <w:p w14:paraId="16444396"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METODOLOGIA DI CALCOLO DELLE RIDUZIONI PER VIOLAZIONE DEGLI IMPEGNI DI INTERVENTO </w:t>
      </w:r>
    </w:p>
    <w:p w14:paraId="53E19D2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fini del calcolo delle riduzioni del contributo, gli impegni di Intervento affini possono essere riuniti in “gruppo di impegni”.</w:t>
      </w:r>
    </w:p>
    <w:p w14:paraId="115765F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Il montante è l’importo complessivo del contributo interessato dalla violazione.</w:t>
      </w:r>
    </w:p>
    <w:p w14:paraId="60F0A64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 L’inosservanza/irregolarità viene valutata rispetto ai seguenti criteri:</w:t>
      </w:r>
    </w:p>
    <w:p w14:paraId="0B27C5F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 parametro dipendente in particolare dalla rilevanza delle conseguenze dell’inosservanza medesima alla luce degli obiettivi perseguiti dall’impegno;</w:t>
      </w:r>
    </w:p>
    <w:p w14:paraId="0FE1615B"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Entità - parametro determinato tenendo conto in particolare dell’impatto dell’inosservanza stessa, che può essere limitato all’azienda oppure più ampio;</w:t>
      </w:r>
    </w:p>
    <w:p w14:paraId="5460996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Durata - parametro dipendente in particolare dal periodo di tempo nel corso del quale ne perdura l’effetto.</w:t>
      </w:r>
    </w:p>
    <w:p w14:paraId="18E8F65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Alla gravità, entità e durata vengono assegnati i seguenti livelli di infrazione:</w:t>
      </w:r>
    </w:p>
    <w:p w14:paraId="3C3FCBEA"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Basso = 1;</w:t>
      </w:r>
    </w:p>
    <w:p w14:paraId="767E9517"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Medio = 3;</w:t>
      </w:r>
    </w:p>
    <w:p w14:paraId="712A7F53"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Alto = 5.</w:t>
      </w:r>
    </w:p>
    <w:p w14:paraId="0663899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Ove nel corso del controllo venga riscontrata la violazione di un impegno, occorre quantificarne il livello (basso = 1; medio = 3; alto = 5) in termini di gravità, entità e durata.</w:t>
      </w:r>
    </w:p>
    <w:p w14:paraId="33A32C9E"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15F38869" w14:textId="421F7BE8"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l’intervento SRD0</w:t>
      </w:r>
      <w:r w:rsidR="001C25C1">
        <w:rPr>
          <w:rFonts w:ascii="Yu Gothic UI" w:eastAsia="Yu Gothic UI" w:hAnsi="Yu Gothic UI" w:cs="Calibri Light"/>
          <w:sz w:val="22"/>
          <w:szCs w:val="22"/>
        </w:rPr>
        <w:t xml:space="preserve">9 </w:t>
      </w:r>
      <w:r w:rsidRPr="001B5CF6">
        <w:rPr>
          <w:rFonts w:ascii="Yu Gothic UI" w:eastAsia="Yu Gothic UI" w:hAnsi="Yu Gothic UI" w:cs="Calibri Light"/>
          <w:sz w:val="22"/>
          <w:szCs w:val="22"/>
        </w:rPr>
        <w:t>gli impegni non sono stati raggruppati in “gruppi di impegni” per il calcolo delle riduzioni.</w:t>
      </w:r>
    </w:p>
    <w:p w14:paraId="3AC4E3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Una volta quantificati i tre indici per ogni impegno violato, si procede, separatamente, al calcolo del valore medio fra gravità, entità e durata.  Il valore ottenuto si arrotonda al secondo decimale per difetto (0,01-0,05) o per eccesso (&gt; 0,05).</w:t>
      </w:r>
    </w:p>
    <w:p w14:paraId="2E682B3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Ad esempio, supponendo che sia riscontrata la violazione di un impegno e che l’impegno risulti violato come indicato nella seguente tabella:</w:t>
      </w:r>
    </w:p>
    <w:tbl>
      <w:tblPr>
        <w:tblW w:w="7508" w:type="dxa"/>
        <w:jc w:val="center"/>
        <w:tblLayout w:type="fixed"/>
        <w:tblCellMar>
          <w:left w:w="10" w:type="dxa"/>
          <w:right w:w="10" w:type="dxa"/>
        </w:tblCellMar>
        <w:tblLook w:val="0000" w:firstRow="0" w:lastRow="0" w:firstColumn="0" w:lastColumn="0" w:noHBand="0" w:noVBand="0"/>
      </w:tblPr>
      <w:tblGrid>
        <w:gridCol w:w="4531"/>
        <w:gridCol w:w="993"/>
        <w:gridCol w:w="992"/>
        <w:gridCol w:w="992"/>
      </w:tblGrid>
      <w:tr w:rsidR="001B5CF6" w:rsidRPr="001B5CF6" w14:paraId="6B23601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6D4F11C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Livello di infrazione dell’impegno</w:t>
            </w:r>
          </w:p>
        </w:tc>
        <w:tc>
          <w:tcPr>
            <w:tcW w:w="993"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0D6A0AF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Gravità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3833490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Entità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228533DD"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Durata</w:t>
            </w:r>
          </w:p>
        </w:tc>
      </w:tr>
      <w:tr w:rsidR="001B5CF6" w:rsidRPr="001B5CF6" w14:paraId="10F3F25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2AB5D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Basso (1)</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8EBE4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B260348"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C58AD1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r w:rsidR="001B5CF6" w:rsidRPr="001B5CF6" w14:paraId="75D3DE6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A5B26C"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Medio (3)</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BAD4DD"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85173F"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2D9BA7C"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r>
      <w:tr w:rsidR="001B5CF6" w:rsidRPr="001B5CF6" w14:paraId="3A09203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0891A1"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Alto (5)</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C7A75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6B133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CBF1D3"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bl>
    <w:p w14:paraId="0B26B648" w14:textId="26358FA3"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si procede alla somma dei tre valori (3+1+3) = 7 e si calcola la media aritmetica che risulta pari a 2,3 (2,33 arrotondato a 2,3).</w:t>
      </w:r>
    </w:p>
    <w:p w14:paraId="672B8DC5" w14:textId="77777777" w:rsid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55815503"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7431D741"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43597016"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p w14:paraId="0CEA9F74"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Questa modalità di calcolo viene ripetuta per ogni impegno violato. Il punteggio ottenuto per ogni impegno violato viene confrontato con i punteggi della seguente tabella, al fine di identificare la percentuale di riduzione corrispondente:</w:t>
      </w:r>
      <w:bookmarkStart w:id="8" w:name="_Hlk161669809"/>
    </w:p>
    <w:tbl>
      <w:tblPr>
        <w:tblW w:w="0" w:type="auto"/>
        <w:jc w:val="center"/>
        <w:tblLayout w:type="fixed"/>
        <w:tblCellMar>
          <w:left w:w="0" w:type="dxa"/>
          <w:right w:w="0" w:type="dxa"/>
        </w:tblCellMar>
        <w:tblLook w:val="04A0" w:firstRow="1" w:lastRow="0" w:firstColumn="1" w:lastColumn="0" w:noHBand="0" w:noVBand="1"/>
      </w:tblPr>
      <w:tblGrid>
        <w:gridCol w:w="3397"/>
        <w:gridCol w:w="4536"/>
      </w:tblGrid>
      <w:tr w:rsidR="001B5CF6" w:rsidRPr="001B5CF6" w14:paraId="1190E8B2" w14:textId="77777777" w:rsidTr="00211751">
        <w:trPr>
          <w:jc w:val="center"/>
        </w:trPr>
        <w:tc>
          <w:tcPr>
            <w:tcW w:w="3397" w:type="dxa"/>
            <w:tcBorders>
              <w:top w:val="single" w:sz="4" w:space="0" w:color="000000"/>
              <w:left w:val="single" w:sz="4" w:space="0" w:color="000000"/>
              <w:bottom w:val="single" w:sz="4" w:space="0" w:color="000000"/>
              <w:right w:val="nil"/>
            </w:tcBorders>
            <w:shd w:val="clear" w:color="auto" w:fill="8DD873" w:themeFill="accent6" w:themeFillTint="99"/>
            <w:vAlign w:val="center"/>
            <w:hideMark/>
          </w:tcPr>
          <w:p w14:paraId="1FF3D34C"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Punteggio</w:t>
            </w:r>
          </w:p>
        </w:tc>
        <w:tc>
          <w:tcPr>
            <w:tcW w:w="453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67FDE040"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Percentuale di riduzione individuata da Regione Lombardia</w:t>
            </w:r>
          </w:p>
        </w:tc>
      </w:tr>
      <w:tr w:rsidR="001B5CF6" w:rsidRPr="001B5CF6" w14:paraId="4A36F8EC"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7F3BA849"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Inferiore a 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EB3FE7E"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3 %</w:t>
            </w:r>
          </w:p>
        </w:tc>
      </w:tr>
      <w:tr w:rsidR="001B5CF6" w:rsidRPr="001B5CF6" w14:paraId="74559425"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39F844B6"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Tra 3 (compreso) e inferiore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470BED5"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5 %</w:t>
            </w:r>
          </w:p>
        </w:tc>
      </w:tr>
      <w:tr w:rsidR="001B5CF6" w:rsidRPr="001B5CF6" w14:paraId="49AE8E88"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12213413"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Uguale o superiore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ED76E48"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7 %</w:t>
            </w:r>
          </w:p>
        </w:tc>
      </w:tr>
      <w:bookmarkEnd w:id="8"/>
    </w:tbl>
    <w:p w14:paraId="489ED11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0FC86FD2"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Nell’esempio sopra riportato, la riduzione ammonterebbe al 3% (2,3 rientra nell’intervallo “Inferiore a 3”) dell’importo totale dell’Intervento a cui si riferisce l’impegno violato.</w:t>
      </w:r>
    </w:p>
    <w:p w14:paraId="1776868F"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Per ciascun impegno violato si calcola la percentuale di riduzione o di esclusione. Poi si esegue la sommatoria delle riduzioni od esclusioni degli impegni afferenti all’Intervento e si giunge a determinare la percentuale di riduzione od esclusione da operare a carico dei montanti riferiti all’Intervento.</w:t>
      </w:r>
    </w:p>
    <w:p w14:paraId="3914E96D"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9" w:name="_Hlk163129523"/>
      <w:r w:rsidRPr="0048132A">
        <w:rPr>
          <w:rFonts w:ascii="Yu Gothic UI" w:eastAsia="Yu Gothic UI" w:hAnsi="Yu Gothic UI" w:cs="Calibri Light"/>
          <w:sz w:val="22"/>
          <w:szCs w:val="22"/>
        </w:rPr>
        <w:t xml:space="preserve">Ripetizione delle inadempienze, inadempienze gravi, prove false. </w:t>
      </w:r>
    </w:p>
    <w:bookmarkEnd w:id="9"/>
    <w:p w14:paraId="724BCD6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caso di ripetizione dell’inosservanza/irregolarità è applicata una maggiorazione della riduzione dell’importo, riferita all’impegno violato, rispetto alle percentuali di riduzione definite per gravità, entità e durata, pari al doppio di quanto previsto.</w:t>
      </w:r>
    </w:p>
    <w:p w14:paraId="61136A8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Un’inosservanza/irregolarità si definisce grave quando è ripetuta ed i parametri di gravità, entità e durata sono tutti cumulativamente di livello massimo. In caso di violazione grave, il contributo è rifiutato o recuperato integralmente. Il beneficiario è altresì escluso dallo stesso Intervento o Azione per l’anno civile dell’accertamento e per l’anno civile successivo. </w:t>
      </w:r>
    </w:p>
    <w:p w14:paraId="40EA2717"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10" w:name="_Hlk161669959"/>
      <w:r w:rsidRPr="0048132A">
        <w:rPr>
          <w:rFonts w:ascii="Yu Gothic UI" w:eastAsia="Yu Gothic UI" w:hAnsi="Yu Gothic UI" w:cs="Calibri Light"/>
          <w:sz w:val="22"/>
          <w:szCs w:val="22"/>
        </w:rPr>
        <w:t>Inoltre, qualora si accerti che il beneficiario abbia presentato prove false per ricevere il sostegno oppure non abbia fornito all’Autorità di Controllo per negligenza le necessarie informazioni, si applicano le medesime conseguenze previste per un’inosservanza grave (articolo 15, comma 10, D.M. 93348/2024).</w:t>
      </w:r>
    </w:p>
    <w:p w14:paraId="50E6A1BA"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bookmarkEnd w:id="10"/>
    <w:p w14:paraId="71EA6EBA"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49A6B973" w14:textId="7760183A"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u w:val="single"/>
        </w:rPr>
      </w:pPr>
      <w:bookmarkStart w:id="11" w:name="_Toc472508206"/>
      <w:bookmarkStart w:id="12" w:name="_Toc74669572"/>
      <w:bookmarkStart w:id="13" w:name="_Toc171517914"/>
      <w:bookmarkStart w:id="14" w:name="_Hlk163129546"/>
      <w:r w:rsidRPr="001B5CF6">
        <w:rPr>
          <w:rFonts w:ascii="Yu Gothic UI Semibold" w:eastAsia="Yu Gothic UI Semibold" w:hAnsi="Yu Gothic UI Semibold" w:cs="Calibri Light"/>
          <w:b/>
          <w:bCs/>
          <w:sz w:val="22"/>
          <w:szCs w:val="22"/>
          <w:u w:val="single"/>
        </w:rPr>
        <w:t xml:space="preserve">IMPEGNI PREVISTI PER </w:t>
      </w:r>
      <w:bookmarkEnd w:id="11"/>
      <w:bookmarkEnd w:id="12"/>
      <w:r w:rsidRPr="001B5CF6">
        <w:rPr>
          <w:rFonts w:ascii="Yu Gothic UI Semibold" w:eastAsia="Yu Gothic UI Semibold" w:hAnsi="Yu Gothic UI Semibold" w:cs="Calibri Light"/>
          <w:b/>
          <w:bCs/>
          <w:sz w:val="22"/>
          <w:szCs w:val="22"/>
          <w:u w:val="single"/>
        </w:rPr>
        <w:t>L’INTERVENTO SRD0</w:t>
      </w:r>
      <w:bookmarkEnd w:id="13"/>
      <w:r w:rsidR="001C25C1">
        <w:rPr>
          <w:rFonts w:ascii="Yu Gothic UI Semibold" w:eastAsia="Yu Gothic UI Semibold" w:hAnsi="Yu Gothic UI Semibold" w:cs="Calibri Light"/>
          <w:b/>
          <w:bCs/>
          <w:sz w:val="22"/>
          <w:szCs w:val="22"/>
          <w:u w:val="single"/>
        </w:rPr>
        <w:t>9</w:t>
      </w:r>
      <w:r w:rsidRPr="001B5CF6">
        <w:rPr>
          <w:rFonts w:ascii="Yu Gothic UI Semibold" w:eastAsia="Yu Gothic UI Semibold" w:hAnsi="Yu Gothic UI Semibold" w:cs="Calibri Light"/>
          <w:b/>
          <w:bCs/>
          <w:sz w:val="22"/>
          <w:szCs w:val="22"/>
          <w:u w:val="single"/>
        </w:rPr>
        <w:t xml:space="preserve"> </w:t>
      </w:r>
    </w:p>
    <w:bookmarkEnd w:id="14"/>
    <w:p w14:paraId="1C254F90" w14:textId="3DCB5B3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Le disposizioni attuative per la presentazione delle domande relative all’Intervento SRD0</w:t>
      </w:r>
      <w:r w:rsidR="001C25C1">
        <w:rPr>
          <w:rFonts w:ascii="Yu Gothic UI" w:eastAsia="Yu Gothic UI" w:hAnsi="Yu Gothic UI" w:cs="Calibri Light"/>
          <w:sz w:val="22"/>
          <w:szCs w:val="22"/>
        </w:rPr>
        <w:t>9</w:t>
      </w:r>
      <w:r w:rsidRPr="0048132A">
        <w:rPr>
          <w:rFonts w:ascii="Yu Gothic UI" w:eastAsia="Yu Gothic UI" w:hAnsi="Yu Gothic UI" w:cs="Calibri Light"/>
          <w:sz w:val="22"/>
          <w:szCs w:val="22"/>
        </w:rPr>
        <w:t xml:space="preserve"> indicano, al paragrafo 25, gli impegni per i quali, in caso di mancato rispetto, è prevista la decadenza parziale o totale del contributo.</w:t>
      </w:r>
    </w:p>
    <w:p w14:paraId="5E6A1889" w14:textId="1E80BED1"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tabella successiva sono riportati gli impegni che determinano la decadenza parziale per l’Intervento SRD0</w:t>
      </w:r>
      <w:r w:rsidR="001C25C1">
        <w:rPr>
          <w:rFonts w:ascii="Yu Gothic UI" w:eastAsia="Yu Gothic UI" w:hAnsi="Yu Gothic UI" w:cs="Calibri Light"/>
          <w:sz w:val="22"/>
          <w:szCs w:val="22"/>
        </w:rPr>
        <w:t>9</w:t>
      </w:r>
      <w:r w:rsidRPr="0048132A">
        <w:rPr>
          <w:rFonts w:ascii="Yu Gothic UI" w:eastAsia="Yu Gothic UI" w:hAnsi="Yu Gothic UI" w:cs="Calibri Light"/>
          <w:sz w:val="22"/>
          <w:szCs w:val="22"/>
        </w:rPr>
        <w:t>.</w:t>
      </w:r>
    </w:p>
    <w:p w14:paraId="273C15B7"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In caso di mancato rispetto dell’impegno descritto, è stato individuato il livello di inadempienza (basso, medio, alto) riferito ai parametri di entità, gravità e durata e il relativo montante a cui si applica la sanzione amministrativa. </w:t>
      </w:r>
    </w:p>
    <w:tbl>
      <w:tblPr>
        <w:tblpPr w:leftFromText="141" w:rightFromText="141" w:vertAnchor="text" w:horzAnchor="margin" w:tblpY="10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856"/>
        <w:gridCol w:w="1319"/>
        <w:gridCol w:w="982"/>
        <w:gridCol w:w="1083"/>
        <w:gridCol w:w="1934"/>
        <w:gridCol w:w="1454"/>
      </w:tblGrid>
      <w:tr w:rsidR="001B5CF6" w:rsidRPr="001B5CF6" w14:paraId="28CFD20C" w14:textId="77777777" w:rsidTr="00DC50AF">
        <w:trPr>
          <w:trHeight w:val="422"/>
          <w:tblHeader/>
        </w:trPr>
        <w:tc>
          <w:tcPr>
            <w:tcW w:w="1113" w:type="dxa"/>
            <w:vMerge w:val="restart"/>
            <w:shd w:val="clear" w:color="auto" w:fill="8DD873" w:themeFill="accent6" w:themeFillTint="99"/>
            <w:vAlign w:val="center"/>
          </w:tcPr>
          <w:p w14:paraId="4719CE1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GRUPPI DI IMPEGNI</w:t>
            </w:r>
          </w:p>
        </w:tc>
        <w:tc>
          <w:tcPr>
            <w:tcW w:w="1887" w:type="dxa"/>
            <w:vMerge w:val="restart"/>
            <w:shd w:val="clear" w:color="auto" w:fill="8DD873" w:themeFill="accent6" w:themeFillTint="99"/>
            <w:vAlign w:val="center"/>
          </w:tcPr>
          <w:p w14:paraId="4403520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IMPEGNI CHE DETERMINANO LA DECADENZA PARZIALE</w:t>
            </w:r>
          </w:p>
        </w:tc>
        <w:tc>
          <w:tcPr>
            <w:tcW w:w="1319" w:type="dxa"/>
            <w:shd w:val="clear" w:color="auto" w:fill="8DD873" w:themeFill="accent6" w:themeFillTint="99"/>
            <w:vAlign w:val="center"/>
          </w:tcPr>
          <w:p w14:paraId="4E6F511A"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GRAVITÀ</w:t>
            </w:r>
          </w:p>
        </w:tc>
        <w:tc>
          <w:tcPr>
            <w:tcW w:w="993" w:type="dxa"/>
            <w:shd w:val="clear" w:color="auto" w:fill="8DD873" w:themeFill="accent6" w:themeFillTint="99"/>
            <w:vAlign w:val="center"/>
          </w:tcPr>
          <w:p w14:paraId="1F873BDF"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ENTITÀ</w:t>
            </w:r>
          </w:p>
        </w:tc>
        <w:tc>
          <w:tcPr>
            <w:tcW w:w="1083" w:type="dxa"/>
            <w:shd w:val="clear" w:color="auto" w:fill="8DD873" w:themeFill="accent6" w:themeFillTint="99"/>
            <w:vAlign w:val="center"/>
          </w:tcPr>
          <w:p w14:paraId="2210A34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DURATA</w:t>
            </w:r>
          </w:p>
        </w:tc>
        <w:tc>
          <w:tcPr>
            <w:tcW w:w="1964" w:type="dxa"/>
            <w:vMerge w:val="restart"/>
            <w:shd w:val="clear" w:color="auto" w:fill="8DD873" w:themeFill="accent6" w:themeFillTint="99"/>
            <w:vAlign w:val="center"/>
          </w:tcPr>
          <w:p w14:paraId="7355407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AZIONE CORRETTIVA</w:t>
            </w:r>
          </w:p>
        </w:tc>
        <w:tc>
          <w:tcPr>
            <w:tcW w:w="1382" w:type="dxa"/>
            <w:vMerge w:val="restart"/>
            <w:shd w:val="clear" w:color="auto" w:fill="8DD873" w:themeFill="accent6" w:themeFillTint="99"/>
            <w:vAlign w:val="center"/>
          </w:tcPr>
          <w:p w14:paraId="28964B34"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MONTANTE A CUI SI APPLICA LA SANZIONE</w:t>
            </w:r>
          </w:p>
        </w:tc>
      </w:tr>
      <w:tr w:rsidR="001B5CF6" w:rsidRPr="001B5CF6" w14:paraId="10944D54" w14:textId="77777777" w:rsidTr="00DC50AF">
        <w:trPr>
          <w:trHeight w:val="1983"/>
          <w:tblHeader/>
        </w:trPr>
        <w:tc>
          <w:tcPr>
            <w:tcW w:w="1113" w:type="dxa"/>
            <w:vMerge/>
            <w:vAlign w:val="center"/>
          </w:tcPr>
          <w:p w14:paraId="47B9ED2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887" w:type="dxa"/>
            <w:vMerge/>
            <w:vAlign w:val="center"/>
          </w:tcPr>
          <w:p w14:paraId="42CACB8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19" w:type="dxa"/>
            <w:shd w:val="clear" w:color="auto" w:fill="8DD873" w:themeFill="accent6" w:themeFillTint="99"/>
            <w:vAlign w:val="center"/>
          </w:tcPr>
          <w:p w14:paraId="78EDD66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5746EC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6E36F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993" w:type="dxa"/>
            <w:shd w:val="clear" w:color="auto" w:fill="8DD873" w:themeFill="accent6" w:themeFillTint="99"/>
            <w:vAlign w:val="center"/>
          </w:tcPr>
          <w:p w14:paraId="6E30F0EC"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9790C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F9A3D0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083" w:type="dxa"/>
            <w:shd w:val="clear" w:color="auto" w:fill="8DD873" w:themeFill="accent6" w:themeFillTint="99"/>
            <w:vAlign w:val="center"/>
          </w:tcPr>
          <w:p w14:paraId="3B23C607"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70D2E2"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115707DD"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964" w:type="dxa"/>
            <w:vMerge/>
          </w:tcPr>
          <w:p w14:paraId="52D56201"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82" w:type="dxa"/>
            <w:vMerge/>
            <w:vAlign w:val="center"/>
          </w:tcPr>
          <w:p w14:paraId="5F1DAD75"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r>
      <w:tr w:rsidR="001B5CF6" w:rsidRPr="0048132A" w14:paraId="0E9340BF" w14:textId="77777777" w:rsidTr="00DC50AF">
        <w:trPr>
          <w:trHeight w:val="1856"/>
          <w:tblHeader/>
        </w:trPr>
        <w:tc>
          <w:tcPr>
            <w:tcW w:w="1113" w:type="dxa"/>
            <w:vAlign w:val="center"/>
          </w:tcPr>
          <w:p w14:paraId="2467519B" w14:textId="573FC972"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887" w:type="dxa"/>
            <w:vAlign w:val="center"/>
          </w:tcPr>
          <w:p w14:paraId="2AB262BA"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Informare e pubblicizzare circa il ruolo del FEASR attraverso l’esposizione di apposita cartellonistica (*)</w:t>
            </w:r>
          </w:p>
        </w:tc>
        <w:tc>
          <w:tcPr>
            <w:tcW w:w="1319" w:type="dxa"/>
            <w:vAlign w:val="center"/>
          </w:tcPr>
          <w:p w14:paraId="188254F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 informazioni incomplete</w:t>
            </w:r>
          </w:p>
          <w:p w14:paraId="5B03121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(3) informazioni assenti</w:t>
            </w:r>
          </w:p>
        </w:tc>
        <w:tc>
          <w:tcPr>
            <w:tcW w:w="993" w:type="dxa"/>
            <w:vAlign w:val="center"/>
          </w:tcPr>
          <w:p w14:paraId="1FDA3F05"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083" w:type="dxa"/>
            <w:vAlign w:val="center"/>
          </w:tcPr>
          <w:p w14:paraId="12B078E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964" w:type="dxa"/>
            <w:vAlign w:val="center"/>
          </w:tcPr>
          <w:p w14:paraId="171B512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Posizionare l’apposita cartellonistica entro 20 giorni dall’accertamento dell’inadempienza.</w:t>
            </w:r>
          </w:p>
        </w:tc>
        <w:tc>
          <w:tcPr>
            <w:tcW w:w="1382" w:type="dxa"/>
            <w:vAlign w:val="center"/>
          </w:tcPr>
          <w:p w14:paraId="0E05C640"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tc>
      </w:tr>
      <w:tr w:rsidR="001B5CF6" w:rsidRPr="0048132A" w14:paraId="236533A8" w14:textId="77777777" w:rsidTr="00DC50AF">
        <w:trPr>
          <w:trHeight w:val="1613"/>
          <w:tblHeader/>
        </w:trPr>
        <w:tc>
          <w:tcPr>
            <w:tcW w:w="1113" w:type="dxa"/>
            <w:vAlign w:val="center"/>
          </w:tcPr>
          <w:p w14:paraId="42279B6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2</w:t>
            </w:r>
          </w:p>
        </w:tc>
        <w:tc>
          <w:tcPr>
            <w:tcW w:w="1887" w:type="dxa"/>
            <w:vAlign w:val="center"/>
          </w:tcPr>
          <w:p w14:paraId="0481AB3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Presentare la domanda di pagamento del saldo entro il 60° giorno dalla data ultima di fine lavori prevista dal bando.</w:t>
            </w:r>
          </w:p>
          <w:p w14:paraId="7D922CED"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La penalità scatta se la domanda risulta presentata tra il 61° e il 90° giorno dalla data ultima di fine lavori (**)</w:t>
            </w:r>
          </w:p>
        </w:tc>
        <w:tc>
          <w:tcPr>
            <w:tcW w:w="1319" w:type="dxa"/>
            <w:vAlign w:val="center"/>
          </w:tcPr>
          <w:p w14:paraId="6BD2790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993" w:type="dxa"/>
            <w:vAlign w:val="center"/>
          </w:tcPr>
          <w:p w14:paraId="047A0831"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083" w:type="dxa"/>
            <w:vAlign w:val="center"/>
          </w:tcPr>
          <w:p w14:paraId="58990303"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964" w:type="dxa"/>
            <w:shd w:val="clear" w:color="auto" w:fill="F2F2F2" w:themeFill="background1" w:themeFillShade="F2"/>
          </w:tcPr>
          <w:p w14:paraId="0115614F" w14:textId="77777777" w:rsidR="001B5CF6" w:rsidRPr="0048132A" w:rsidRDefault="001B5CF6" w:rsidP="0048132A">
            <w:pPr>
              <w:spacing w:after="160" w:line="259" w:lineRule="auto"/>
              <w:jc w:val="center"/>
              <w:rPr>
                <w:rFonts w:ascii="Yu Gothic UI" w:eastAsia="Yu Gothic UI" w:hAnsi="Yu Gothic UI" w:cs="Calibri Light"/>
                <w:sz w:val="20"/>
                <w:szCs w:val="20"/>
              </w:rPr>
            </w:pPr>
          </w:p>
        </w:tc>
        <w:tc>
          <w:tcPr>
            <w:tcW w:w="1382" w:type="dxa"/>
            <w:vAlign w:val="center"/>
          </w:tcPr>
          <w:p w14:paraId="2C42D7A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p w14:paraId="1B583E92"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Decadenza totale dal contributo in caso di mancata presentazione della domanda di pagamento entro il 90° giorno</w:t>
            </w:r>
          </w:p>
        </w:tc>
      </w:tr>
    </w:tbl>
    <w:p w14:paraId="7C7B703C" w14:textId="77777777" w:rsidR="001B5CF6" w:rsidRPr="0048132A" w:rsidRDefault="001B5CF6" w:rsidP="0048132A">
      <w:pPr>
        <w:spacing w:after="160" w:line="259" w:lineRule="auto"/>
        <w:jc w:val="center"/>
        <w:rPr>
          <w:rFonts w:ascii="Yu Gothic UI" w:eastAsia="Yu Gothic UI" w:hAnsi="Yu Gothic UI" w:cs="Calibri Light"/>
          <w:sz w:val="20"/>
          <w:szCs w:val="20"/>
        </w:rPr>
      </w:pPr>
    </w:p>
    <w:p w14:paraId="268D98D5"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Secondo quanto indicato dal Decreto n. 5456 del 5 aprile 2024 dell’</w:t>
      </w:r>
      <w:proofErr w:type="spellStart"/>
      <w:r w:rsidRPr="001B5CF6">
        <w:rPr>
          <w:rFonts w:ascii="Yu Gothic UI Semibold" w:eastAsia="Yu Gothic UI Semibold" w:hAnsi="Yu Gothic UI Semibold" w:cs="Calibri Light"/>
          <w:b/>
          <w:bCs/>
          <w:sz w:val="22"/>
          <w:szCs w:val="22"/>
        </w:rPr>
        <w:t>AdGR</w:t>
      </w:r>
      <w:proofErr w:type="spellEnd"/>
      <w:r w:rsidRPr="001B5CF6">
        <w:rPr>
          <w:rFonts w:ascii="Yu Gothic UI Semibold" w:eastAsia="Yu Gothic UI Semibold" w:hAnsi="Yu Gothic UI Semibold" w:cs="Calibri Light"/>
          <w:b/>
          <w:bCs/>
          <w:sz w:val="22"/>
          <w:szCs w:val="22"/>
        </w:rPr>
        <w:t xml:space="preserve"> “Disposizioni in materia di informazioni e pubblicità” pubblicato all’indirizzo: Indicazioni e Strumenti per le Azioni di Comunicazione e Informazione (regione.lombardia.it)</w:t>
      </w:r>
    </w:p>
    <w:p w14:paraId="2E9B55C3" w14:textId="3D71BD25" w:rsidR="00A866D5" w:rsidRPr="00CC7C49"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Impegno che, a seconda del livello dell’inadempienza riscontrata, può determinare, se non rispettato, la decadenza parziale o totale della domanda di contributo.</w:t>
      </w:r>
    </w:p>
    <w:sectPr w:rsidR="00A866D5" w:rsidRPr="00CC7C4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171B" w14:textId="77777777" w:rsidR="006D0B61" w:rsidRDefault="006D0B61" w:rsidP="005116EF">
      <w:r>
        <w:separator/>
      </w:r>
    </w:p>
  </w:endnote>
  <w:endnote w:type="continuationSeparator" w:id="0">
    <w:p w14:paraId="6C1A324A" w14:textId="77777777" w:rsidR="006D0B61" w:rsidRDefault="006D0B61"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UI">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51243"/>
      <w:docPartObj>
        <w:docPartGallery w:val="Page Numbers (Bottom of Page)"/>
        <w:docPartUnique/>
      </w:docPartObj>
    </w:sdtPr>
    <w:sdtContent>
      <w:p w14:paraId="2A178397" w14:textId="7E5189E2" w:rsidR="00CD0EF2" w:rsidRDefault="00CD0EF2">
        <w:pPr>
          <w:pStyle w:val="Pidipagina"/>
          <w:jc w:val="right"/>
        </w:pPr>
        <w:r>
          <w:fldChar w:fldCharType="begin"/>
        </w:r>
        <w:r>
          <w:instrText>PAGE   \* MERGEFORMAT</w:instrText>
        </w:r>
        <w:r>
          <w:fldChar w:fldCharType="separate"/>
        </w:r>
        <w:r>
          <w:t>2</w:t>
        </w:r>
        <w:r>
          <w:fldChar w:fldCharType="end"/>
        </w:r>
      </w:p>
    </w:sdtContent>
  </w:sdt>
  <w:p w14:paraId="18901BED" w14:textId="77777777" w:rsidR="00CD0EF2" w:rsidRDefault="00CD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0D18" w14:textId="77777777" w:rsidR="006D0B61" w:rsidRDefault="006D0B61" w:rsidP="005116EF">
      <w:r>
        <w:separator/>
      </w:r>
    </w:p>
  </w:footnote>
  <w:footnote w:type="continuationSeparator" w:id="0">
    <w:p w14:paraId="28B3C2A2" w14:textId="77777777" w:rsidR="006D0B61" w:rsidRDefault="006D0B61" w:rsidP="005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243B54E9" w:rsidR="00CD0EF2" w:rsidRDefault="00CD0EF2">
    <w:pPr>
      <w:pStyle w:val="Intestazione"/>
    </w:pPr>
    <w:r w:rsidRPr="002B1B3D">
      <w:rPr>
        <w:noProof/>
      </w:rPr>
      <w:drawing>
        <wp:anchor distT="0" distB="0" distL="114300" distR="114300" simplePos="0" relativeHeight="251659264" behindDoc="0" locked="0" layoutInCell="1" allowOverlap="1" wp14:anchorId="133527BE" wp14:editId="13B27FCF">
          <wp:simplePos x="0" y="0"/>
          <wp:positionH relativeFrom="margin">
            <wp:align>left</wp:align>
          </wp:positionH>
          <wp:positionV relativeFrom="paragraph">
            <wp:posOffset>-89535</wp:posOffset>
          </wp:positionV>
          <wp:extent cx="6226233" cy="532015"/>
          <wp:effectExtent l="0" t="0" r="3175" b="1905"/>
          <wp:wrapNone/>
          <wp:docPr id="18513969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A6E12"/>
    <w:multiLevelType w:val="hybridMultilevel"/>
    <w:tmpl w:val="895ADFA0"/>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608FF"/>
    <w:multiLevelType w:val="hybridMultilevel"/>
    <w:tmpl w:val="09F8CFBC"/>
    <w:lvl w:ilvl="0" w:tplc="04100011">
      <w:start w:val="1"/>
      <w:numFmt w:val="decimal"/>
      <w:lvlText w:val="%1)"/>
      <w:lvlJc w:val="left"/>
      <w:pPr>
        <w:ind w:left="1068" w:hanging="360"/>
      </w:pPr>
    </w:lvl>
    <w:lvl w:ilvl="1" w:tplc="04100011">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7C83B45"/>
    <w:multiLevelType w:val="hybridMultilevel"/>
    <w:tmpl w:val="9ECC718C"/>
    <w:lvl w:ilvl="0" w:tplc="FFFFFFFF">
      <w:start w:val="1"/>
      <w:numFmt w:val="decimal"/>
      <w:lvlText w:val="%1)"/>
      <w:lvlJc w:val="left"/>
      <w:pPr>
        <w:ind w:left="1428" w:hanging="360"/>
      </w:pPr>
    </w:lvl>
    <w:lvl w:ilvl="1" w:tplc="0410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82D53E9"/>
    <w:multiLevelType w:val="hybridMultilevel"/>
    <w:tmpl w:val="C17AF4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43B3D"/>
    <w:multiLevelType w:val="hybridMultilevel"/>
    <w:tmpl w:val="B9B04C50"/>
    <w:lvl w:ilvl="0" w:tplc="FF146CE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B1B2B"/>
    <w:multiLevelType w:val="hybridMultilevel"/>
    <w:tmpl w:val="CC2C4F80"/>
    <w:lvl w:ilvl="0" w:tplc="04100011">
      <w:start w:val="1"/>
      <w:numFmt w:val="decimal"/>
      <w:lvlText w:val="%1)"/>
      <w:lvlJc w:val="left"/>
      <w:pPr>
        <w:ind w:left="1068" w:hanging="360"/>
      </w:pPr>
    </w:lvl>
    <w:lvl w:ilvl="1" w:tplc="04100011">
      <w:start w:val="1"/>
      <w:numFmt w:val="decimal"/>
      <w:lvlText w:val="%2)"/>
      <w:lvlJc w:val="left"/>
      <w:pPr>
        <w:ind w:left="1068" w:hanging="360"/>
      </w:pPr>
    </w:lvl>
    <w:lvl w:ilvl="2" w:tplc="7B2E254A">
      <w:start w:val="3"/>
      <w:numFmt w:val="bullet"/>
      <w:lvlText w:val="•"/>
      <w:lvlJc w:val="left"/>
      <w:pPr>
        <w:ind w:left="2688" w:hanging="360"/>
      </w:pPr>
      <w:rPr>
        <w:rFonts w:ascii="Yu Gothic UI" w:eastAsia="Yu Gothic UI" w:hAnsi="Yu Gothic UI" w:cstheme="minorHAnsi" w:hint="eastAsia"/>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9752C"/>
    <w:multiLevelType w:val="hybridMultilevel"/>
    <w:tmpl w:val="9CB8C5F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197D0EAE"/>
    <w:multiLevelType w:val="hybridMultilevel"/>
    <w:tmpl w:val="E8DE209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047A2"/>
    <w:multiLevelType w:val="hybridMultilevel"/>
    <w:tmpl w:val="4B2AF1D6"/>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960BA"/>
    <w:multiLevelType w:val="hybridMultilevel"/>
    <w:tmpl w:val="60E0CDAE"/>
    <w:lvl w:ilvl="0" w:tplc="41C0C91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E483E"/>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A34E5"/>
    <w:multiLevelType w:val="hybridMultilevel"/>
    <w:tmpl w:val="6E669C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D88"/>
    <w:multiLevelType w:val="hybridMultilevel"/>
    <w:tmpl w:val="6F1E5A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D75D8"/>
    <w:multiLevelType w:val="hybridMultilevel"/>
    <w:tmpl w:val="4EFC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022545"/>
    <w:multiLevelType w:val="hybridMultilevel"/>
    <w:tmpl w:val="FE6047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AAC21E9"/>
    <w:multiLevelType w:val="multilevel"/>
    <w:tmpl w:val="43B28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EE6083"/>
    <w:multiLevelType w:val="hybridMultilevel"/>
    <w:tmpl w:val="BDAE5366"/>
    <w:lvl w:ilvl="0" w:tplc="1CB6C6B4">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FA494E"/>
    <w:multiLevelType w:val="hybridMultilevel"/>
    <w:tmpl w:val="CE8091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2BB1E53"/>
    <w:multiLevelType w:val="hybridMultilevel"/>
    <w:tmpl w:val="2C12F3EC"/>
    <w:lvl w:ilvl="0" w:tplc="4CB2B8A8">
      <w:numFmt w:val="bullet"/>
      <w:lvlText w:val=""/>
      <w:lvlJc w:val="left"/>
      <w:pPr>
        <w:ind w:left="1652" w:hanging="299"/>
      </w:pPr>
      <w:rPr>
        <w:rFonts w:ascii="Symbol" w:eastAsia="Symbol" w:hAnsi="Symbol" w:cs="Symbol" w:hint="default"/>
        <w:b w:val="0"/>
        <w:bCs w:val="0"/>
        <w:i w:val="0"/>
        <w:iCs w:val="0"/>
        <w:spacing w:val="0"/>
        <w:w w:val="103"/>
        <w:sz w:val="16"/>
        <w:szCs w:val="16"/>
        <w:lang w:val="it-IT" w:eastAsia="en-US" w:bidi="ar-SA"/>
      </w:rPr>
    </w:lvl>
    <w:lvl w:ilvl="1" w:tplc="8A22A6F2">
      <w:numFmt w:val="bullet"/>
      <w:lvlText w:val="o"/>
      <w:lvlJc w:val="left"/>
      <w:pPr>
        <w:ind w:left="1948" w:hanging="297"/>
      </w:pPr>
      <w:rPr>
        <w:rFonts w:ascii="Courier New" w:eastAsia="Courier New" w:hAnsi="Courier New" w:cs="Courier New" w:hint="default"/>
        <w:b w:val="0"/>
        <w:bCs w:val="0"/>
        <w:i w:val="0"/>
        <w:iCs w:val="0"/>
        <w:spacing w:val="0"/>
        <w:w w:val="103"/>
        <w:sz w:val="16"/>
        <w:szCs w:val="16"/>
        <w:lang w:val="it-IT" w:eastAsia="en-US" w:bidi="ar-SA"/>
      </w:rPr>
    </w:lvl>
    <w:lvl w:ilvl="2" w:tplc="27B49EFE">
      <w:numFmt w:val="bullet"/>
      <w:lvlText w:val="•"/>
      <w:lvlJc w:val="left"/>
      <w:pPr>
        <w:ind w:left="2848" w:hanging="297"/>
      </w:pPr>
      <w:rPr>
        <w:rFonts w:hint="default"/>
        <w:lang w:val="it-IT" w:eastAsia="en-US" w:bidi="ar-SA"/>
      </w:rPr>
    </w:lvl>
    <w:lvl w:ilvl="3" w:tplc="F5BA84D0">
      <w:numFmt w:val="bullet"/>
      <w:lvlText w:val="•"/>
      <w:lvlJc w:val="left"/>
      <w:pPr>
        <w:ind w:left="3757" w:hanging="297"/>
      </w:pPr>
      <w:rPr>
        <w:rFonts w:hint="default"/>
        <w:lang w:val="it-IT" w:eastAsia="en-US" w:bidi="ar-SA"/>
      </w:rPr>
    </w:lvl>
    <w:lvl w:ilvl="4" w:tplc="C04EEA1C">
      <w:numFmt w:val="bullet"/>
      <w:lvlText w:val="•"/>
      <w:lvlJc w:val="left"/>
      <w:pPr>
        <w:ind w:left="4666" w:hanging="297"/>
      </w:pPr>
      <w:rPr>
        <w:rFonts w:hint="default"/>
        <w:lang w:val="it-IT" w:eastAsia="en-US" w:bidi="ar-SA"/>
      </w:rPr>
    </w:lvl>
    <w:lvl w:ilvl="5" w:tplc="DDAEF796">
      <w:numFmt w:val="bullet"/>
      <w:lvlText w:val="•"/>
      <w:lvlJc w:val="left"/>
      <w:pPr>
        <w:ind w:left="5574" w:hanging="297"/>
      </w:pPr>
      <w:rPr>
        <w:rFonts w:hint="default"/>
        <w:lang w:val="it-IT" w:eastAsia="en-US" w:bidi="ar-SA"/>
      </w:rPr>
    </w:lvl>
    <w:lvl w:ilvl="6" w:tplc="FFCE3A7C">
      <w:numFmt w:val="bullet"/>
      <w:lvlText w:val="•"/>
      <w:lvlJc w:val="left"/>
      <w:pPr>
        <w:ind w:left="6483" w:hanging="297"/>
      </w:pPr>
      <w:rPr>
        <w:rFonts w:hint="default"/>
        <w:lang w:val="it-IT" w:eastAsia="en-US" w:bidi="ar-SA"/>
      </w:rPr>
    </w:lvl>
    <w:lvl w:ilvl="7" w:tplc="1C007A74">
      <w:numFmt w:val="bullet"/>
      <w:lvlText w:val="•"/>
      <w:lvlJc w:val="left"/>
      <w:pPr>
        <w:ind w:left="7392" w:hanging="297"/>
      </w:pPr>
      <w:rPr>
        <w:rFonts w:hint="default"/>
        <w:lang w:val="it-IT" w:eastAsia="en-US" w:bidi="ar-SA"/>
      </w:rPr>
    </w:lvl>
    <w:lvl w:ilvl="8" w:tplc="58262032">
      <w:numFmt w:val="bullet"/>
      <w:lvlText w:val="•"/>
      <w:lvlJc w:val="left"/>
      <w:pPr>
        <w:ind w:left="8300" w:hanging="297"/>
      </w:pPr>
      <w:rPr>
        <w:rFonts w:hint="default"/>
        <w:lang w:val="it-IT" w:eastAsia="en-US" w:bidi="ar-SA"/>
      </w:rPr>
    </w:lvl>
  </w:abstractNum>
  <w:abstractNum w:abstractNumId="31" w15:restartNumberingAfterBreak="0">
    <w:nsid w:val="578E1F1E"/>
    <w:multiLevelType w:val="hybridMultilevel"/>
    <w:tmpl w:val="10223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672D6"/>
    <w:multiLevelType w:val="hybridMultilevel"/>
    <w:tmpl w:val="549406AC"/>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0410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6"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651A62"/>
    <w:multiLevelType w:val="hybridMultilevel"/>
    <w:tmpl w:val="C32AAE96"/>
    <w:lvl w:ilvl="0" w:tplc="326A96C0">
      <w:numFmt w:val="bullet"/>
      <w:lvlText w:val="-"/>
      <w:lvlJc w:val="left"/>
      <w:pPr>
        <w:ind w:left="685" w:hanging="299"/>
      </w:pPr>
      <w:rPr>
        <w:rFonts w:ascii="Arial" w:eastAsia="Arial" w:hAnsi="Arial" w:cs="Arial" w:hint="default"/>
        <w:b w:val="0"/>
        <w:bCs w:val="0"/>
        <w:i w:val="0"/>
        <w:iCs w:val="0"/>
        <w:spacing w:val="0"/>
        <w:w w:val="123"/>
        <w:sz w:val="16"/>
        <w:szCs w:val="16"/>
        <w:lang w:val="it-IT" w:eastAsia="en-US" w:bidi="ar-SA"/>
      </w:rPr>
    </w:lvl>
    <w:lvl w:ilvl="1" w:tplc="F18E8D22">
      <w:numFmt w:val="bullet"/>
      <w:lvlText w:val="•"/>
      <w:lvlJc w:val="left"/>
      <w:pPr>
        <w:ind w:left="1232" w:hanging="299"/>
      </w:pPr>
      <w:rPr>
        <w:rFonts w:hint="default"/>
        <w:lang w:val="it-IT" w:eastAsia="en-US" w:bidi="ar-SA"/>
      </w:rPr>
    </w:lvl>
    <w:lvl w:ilvl="2" w:tplc="EF402D12">
      <w:numFmt w:val="bullet"/>
      <w:lvlText w:val="•"/>
      <w:lvlJc w:val="left"/>
      <w:pPr>
        <w:ind w:left="1785" w:hanging="299"/>
      </w:pPr>
      <w:rPr>
        <w:rFonts w:hint="default"/>
        <w:lang w:val="it-IT" w:eastAsia="en-US" w:bidi="ar-SA"/>
      </w:rPr>
    </w:lvl>
    <w:lvl w:ilvl="3" w:tplc="84A65F0C">
      <w:numFmt w:val="bullet"/>
      <w:lvlText w:val="•"/>
      <w:lvlJc w:val="left"/>
      <w:pPr>
        <w:ind w:left="2338" w:hanging="299"/>
      </w:pPr>
      <w:rPr>
        <w:rFonts w:hint="default"/>
        <w:lang w:val="it-IT" w:eastAsia="en-US" w:bidi="ar-SA"/>
      </w:rPr>
    </w:lvl>
    <w:lvl w:ilvl="4" w:tplc="ECCA82AC">
      <w:numFmt w:val="bullet"/>
      <w:lvlText w:val="•"/>
      <w:lvlJc w:val="left"/>
      <w:pPr>
        <w:ind w:left="2890" w:hanging="299"/>
      </w:pPr>
      <w:rPr>
        <w:rFonts w:hint="default"/>
        <w:lang w:val="it-IT" w:eastAsia="en-US" w:bidi="ar-SA"/>
      </w:rPr>
    </w:lvl>
    <w:lvl w:ilvl="5" w:tplc="8F5EB338">
      <w:numFmt w:val="bullet"/>
      <w:lvlText w:val="•"/>
      <w:lvlJc w:val="left"/>
      <w:pPr>
        <w:ind w:left="3443" w:hanging="299"/>
      </w:pPr>
      <w:rPr>
        <w:rFonts w:hint="default"/>
        <w:lang w:val="it-IT" w:eastAsia="en-US" w:bidi="ar-SA"/>
      </w:rPr>
    </w:lvl>
    <w:lvl w:ilvl="6" w:tplc="DE4C9B56">
      <w:numFmt w:val="bullet"/>
      <w:lvlText w:val="•"/>
      <w:lvlJc w:val="left"/>
      <w:pPr>
        <w:ind w:left="3996" w:hanging="299"/>
      </w:pPr>
      <w:rPr>
        <w:rFonts w:hint="default"/>
        <w:lang w:val="it-IT" w:eastAsia="en-US" w:bidi="ar-SA"/>
      </w:rPr>
    </w:lvl>
    <w:lvl w:ilvl="7" w:tplc="DD44F3A8">
      <w:numFmt w:val="bullet"/>
      <w:lvlText w:val="•"/>
      <w:lvlJc w:val="left"/>
      <w:pPr>
        <w:ind w:left="4548" w:hanging="299"/>
      </w:pPr>
      <w:rPr>
        <w:rFonts w:hint="default"/>
        <w:lang w:val="it-IT" w:eastAsia="en-US" w:bidi="ar-SA"/>
      </w:rPr>
    </w:lvl>
    <w:lvl w:ilvl="8" w:tplc="10FA88DA">
      <w:numFmt w:val="bullet"/>
      <w:lvlText w:val="•"/>
      <w:lvlJc w:val="left"/>
      <w:pPr>
        <w:ind w:left="5101" w:hanging="299"/>
      </w:pPr>
      <w:rPr>
        <w:rFonts w:hint="default"/>
        <w:lang w:val="it-IT" w:eastAsia="en-US" w:bidi="ar-SA"/>
      </w:rPr>
    </w:lvl>
  </w:abstractNum>
  <w:abstractNum w:abstractNumId="38" w15:restartNumberingAfterBreak="0">
    <w:nsid w:val="6EEF1279"/>
    <w:multiLevelType w:val="hybridMultilevel"/>
    <w:tmpl w:val="BC6AA1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D627DB0"/>
    <w:multiLevelType w:val="multilevel"/>
    <w:tmpl w:val="C4CC383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E031D9B"/>
    <w:multiLevelType w:val="hybridMultilevel"/>
    <w:tmpl w:val="F68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939371">
    <w:abstractNumId w:val="30"/>
  </w:num>
  <w:num w:numId="2" w16cid:durableId="1721707786">
    <w:abstractNumId w:val="37"/>
  </w:num>
  <w:num w:numId="3" w16cid:durableId="639842212">
    <w:abstractNumId w:val="0"/>
  </w:num>
  <w:num w:numId="4" w16cid:durableId="1488978189">
    <w:abstractNumId w:val="26"/>
  </w:num>
  <w:num w:numId="5" w16cid:durableId="1521047989">
    <w:abstractNumId w:val="34"/>
  </w:num>
  <w:num w:numId="6" w16cid:durableId="843210283">
    <w:abstractNumId w:val="22"/>
  </w:num>
  <w:num w:numId="7" w16cid:durableId="1813716249">
    <w:abstractNumId w:val="9"/>
  </w:num>
  <w:num w:numId="8" w16cid:durableId="131561119">
    <w:abstractNumId w:val="39"/>
  </w:num>
  <w:num w:numId="9" w16cid:durableId="1256745141">
    <w:abstractNumId w:val="42"/>
  </w:num>
  <w:num w:numId="10" w16cid:durableId="453672403">
    <w:abstractNumId w:val="13"/>
  </w:num>
  <w:num w:numId="11" w16cid:durableId="1965229311">
    <w:abstractNumId w:val="17"/>
  </w:num>
  <w:num w:numId="12" w16cid:durableId="2103838232">
    <w:abstractNumId w:val="32"/>
  </w:num>
  <w:num w:numId="13" w16cid:durableId="233202297">
    <w:abstractNumId w:val="27"/>
  </w:num>
  <w:num w:numId="14" w16cid:durableId="2083480677">
    <w:abstractNumId w:val="10"/>
  </w:num>
  <w:num w:numId="15" w16cid:durableId="974140593">
    <w:abstractNumId w:val="7"/>
  </w:num>
  <w:num w:numId="16" w16cid:durableId="1075128160">
    <w:abstractNumId w:val="36"/>
  </w:num>
  <w:num w:numId="17" w16cid:durableId="535580102">
    <w:abstractNumId w:val="31"/>
  </w:num>
  <w:num w:numId="18" w16cid:durableId="237135976">
    <w:abstractNumId w:val="24"/>
  </w:num>
  <w:num w:numId="19" w16cid:durableId="934753071">
    <w:abstractNumId w:val="6"/>
  </w:num>
  <w:num w:numId="20" w16cid:durableId="197090971">
    <w:abstractNumId w:val="21"/>
  </w:num>
  <w:num w:numId="21" w16cid:durableId="1506287001">
    <w:abstractNumId w:val="23"/>
  </w:num>
  <w:num w:numId="22" w16cid:durableId="829710100">
    <w:abstractNumId w:val="15"/>
  </w:num>
  <w:num w:numId="23" w16cid:durableId="797072349">
    <w:abstractNumId w:val="11"/>
  </w:num>
  <w:num w:numId="24" w16cid:durableId="390005293">
    <w:abstractNumId w:val="3"/>
  </w:num>
  <w:num w:numId="25" w16cid:durableId="9263509">
    <w:abstractNumId w:val="28"/>
  </w:num>
  <w:num w:numId="26" w16cid:durableId="644165149">
    <w:abstractNumId w:val="5"/>
  </w:num>
  <w:num w:numId="27" w16cid:durableId="302278279">
    <w:abstractNumId w:val="12"/>
  </w:num>
  <w:num w:numId="28" w16cid:durableId="2064208581">
    <w:abstractNumId w:val="1"/>
  </w:num>
  <w:num w:numId="29" w16cid:durableId="503520864">
    <w:abstractNumId w:val="14"/>
  </w:num>
  <w:num w:numId="30" w16cid:durableId="915747067">
    <w:abstractNumId w:val="2"/>
  </w:num>
  <w:num w:numId="31" w16cid:durableId="556623250">
    <w:abstractNumId w:val="8"/>
  </w:num>
  <w:num w:numId="32" w16cid:durableId="2045865775">
    <w:abstractNumId w:val="35"/>
  </w:num>
  <w:num w:numId="33" w16cid:durableId="929317102">
    <w:abstractNumId w:val="38"/>
  </w:num>
  <w:num w:numId="34" w16cid:durableId="1540632815">
    <w:abstractNumId w:val="19"/>
  </w:num>
  <w:num w:numId="35" w16cid:durableId="772474734">
    <w:abstractNumId w:val="18"/>
  </w:num>
  <w:num w:numId="36" w16cid:durableId="927150980">
    <w:abstractNumId w:val="25"/>
  </w:num>
  <w:num w:numId="37" w16cid:durableId="231814313">
    <w:abstractNumId w:val="20"/>
  </w:num>
  <w:num w:numId="38" w16cid:durableId="1013337745">
    <w:abstractNumId w:val="16"/>
  </w:num>
  <w:num w:numId="39" w16cid:durableId="2078042795">
    <w:abstractNumId w:val="40"/>
  </w:num>
  <w:num w:numId="40" w16cid:durableId="941953023">
    <w:abstractNumId w:val="29"/>
  </w:num>
  <w:num w:numId="41" w16cid:durableId="1418553823">
    <w:abstractNumId w:val="33"/>
  </w:num>
  <w:num w:numId="42" w16cid:durableId="1439566760">
    <w:abstractNumId w:val="4"/>
  </w:num>
  <w:num w:numId="43" w16cid:durableId="148677472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40B0"/>
    <w:rsid w:val="00012713"/>
    <w:rsid w:val="00037CAE"/>
    <w:rsid w:val="0004675E"/>
    <w:rsid w:val="00075ED9"/>
    <w:rsid w:val="00093178"/>
    <w:rsid w:val="00093ED9"/>
    <w:rsid w:val="000B7D43"/>
    <w:rsid w:val="000D6850"/>
    <w:rsid w:val="000E1111"/>
    <w:rsid w:val="000E206B"/>
    <w:rsid w:val="00101381"/>
    <w:rsid w:val="00111100"/>
    <w:rsid w:val="00111C1F"/>
    <w:rsid w:val="0011368F"/>
    <w:rsid w:val="00114D65"/>
    <w:rsid w:val="00115FE9"/>
    <w:rsid w:val="0012029F"/>
    <w:rsid w:val="00122852"/>
    <w:rsid w:val="001244D7"/>
    <w:rsid w:val="00124C76"/>
    <w:rsid w:val="00125FB7"/>
    <w:rsid w:val="001701E2"/>
    <w:rsid w:val="0018090E"/>
    <w:rsid w:val="001839A5"/>
    <w:rsid w:val="001B5CF6"/>
    <w:rsid w:val="001C25C1"/>
    <w:rsid w:val="001C41CA"/>
    <w:rsid w:val="0020058C"/>
    <w:rsid w:val="00202798"/>
    <w:rsid w:val="00207A68"/>
    <w:rsid w:val="00211751"/>
    <w:rsid w:val="00243F25"/>
    <w:rsid w:val="00283961"/>
    <w:rsid w:val="0029759A"/>
    <w:rsid w:val="002A5111"/>
    <w:rsid w:val="003007FC"/>
    <w:rsid w:val="00301877"/>
    <w:rsid w:val="00307464"/>
    <w:rsid w:val="0032038A"/>
    <w:rsid w:val="00332352"/>
    <w:rsid w:val="0034165E"/>
    <w:rsid w:val="00354CC3"/>
    <w:rsid w:val="00375225"/>
    <w:rsid w:val="003A227C"/>
    <w:rsid w:val="003C010D"/>
    <w:rsid w:val="003D3F81"/>
    <w:rsid w:val="003E0092"/>
    <w:rsid w:val="003F5A97"/>
    <w:rsid w:val="003F6810"/>
    <w:rsid w:val="00402A1B"/>
    <w:rsid w:val="00406D58"/>
    <w:rsid w:val="00413AAB"/>
    <w:rsid w:val="00415FDD"/>
    <w:rsid w:val="00426522"/>
    <w:rsid w:val="00455E38"/>
    <w:rsid w:val="0046618C"/>
    <w:rsid w:val="0048132A"/>
    <w:rsid w:val="004862B3"/>
    <w:rsid w:val="00493935"/>
    <w:rsid w:val="004B01F9"/>
    <w:rsid w:val="004B3CAF"/>
    <w:rsid w:val="004C34FE"/>
    <w:rsid w:val="0050796D"/>
    <w:rsid w:val="0051111E"/>
    <w:rsid w:val="005116EF"/>
    <w:rsid w:val="00520809"/>
    <w:rsid w:val="00535320"/>
    <w:rsid w:val="00535A14"/>
    <w:rsid w:val="00544ECB"/>
    <w:rsid w:val="005520B7"/>
    <w:rsid w:val="005A77E5"/>
    <w:rsid w:val="005B1D59"/>
    <w:rsid w:val="005B43DD"/>
    <w:rsid w:val="005B602B"/>
    <w:rsid w:val="005C6582"/>
    <w:rsid w:val="005D083A"/>
    <w:rsid w:val="005D1B00"/>
    <w:rsid w:val="005D1BA7"/>
    <w:rsid w:val="005E2957"/>
    <w:rsid w:val="0062732B"/>
    <w:rsid w:val="0063143F"/>
    <w:rsid w:val="00637C43"/>
    <w:rsid w:val="00642A2F"/>
    <w:rsid w:val="00652311"/>
    <w:rsid w:val="00680E9E"/>
    <w:rsid w:val="00681DDE"/>
    <w:rsid w:val="00683541"/>
    <w:rsid w:val="006872CB"/>
    <w:rsid w:val="006A3EA7"/>
    <w:rsid w:val="006C14C6"/>
    <w:rsid w:val="006D0B61"/>
    <w:rsid w:val="006D6BC5"/>
    <w:rsid w:val="006E1828"/>
    <w:rsid w:val="006E797D"/>
    <w:rsid w:val="00703444"/>
    <w:rsid w:val="00712CEF"/>
    <w:rsid w:val="00721319"/>
    <w:rsid w:val="00734E61"/>
    <w:rsid w:val="00742C46"/>
    <w:rsid w:val="007466CD"/>
    <w:rsid w:val="007572AF"/>
    <w:rsid w:val="0075782A"/>
    <w:rsid w:val="0077434D"/>
    <w:rsid w:val="00786AAC"/>
    <w:rsid w:val="0079038A"/>
    <w:rsid w:val="0079204B"/>
    <w:rsid w:val="007B2C51"/>
    <w:rsid w:val="007C0B58"/>
    <w:rsid w:val="007D0B26"/>
    <w:rsid w:val="007D2859"/>
    <w:rsid w:val="007E12A7"/>
    <w:rsid w:val="007E1D56"/>
    <w:rsid w:val="0080213B"/>
    <w:rsid w:val="0081708F"/>
    <w:rsid w:val="008270E1"/>
    <w:rsid w:val="008466D8"/>
    <w:rsid w:val="00860379"/>
    <w:rsid w:val="00870F99"/>
    <w:rsid w:val="00885B73"/>
    <w:rsid w:val="00891672"/>
    <w:rsid w:val="00893987"/>
    <w:rsid w:val="00893BEC"/>
    <w:rsid w:val="008A3A95"/>
    <w:rsid w:val="008A7973"/>
    <w:rsid w:val="008B78C4"/>
    <w:rsid w:val="008C4DD1"/>
    <w:rsid w:val="008C68AD"/>
    <w:rsid w:val="008D3248"/>
    <w:rsid w:val="008E73BD"/>
    <w:rsid w:val="009014AA"/>
    <w:rsid w:val="009114ED"/>
    <w:rsid w:val="009271B8"/>
    <w:rsid w:val="00932B75"/>
    <w:rsid w:val="00937347"/>
    <w:rsid w:val="0095156E"/>
    <w:rsid w:val="00951E76"/>
    <w:rsid w:val="00963032"/>
    <w:rsid w:val="00967759"/>
    <w:rsid w:val="00971D94"/>
    <w:rsid w:val="00975909"/>
    <w:rsid w:val="00984CC9"/>
    <w:rsid w:val="00991E42"/>
    <w:rsid w:val="009A5727"/>
    <w:rsid w:val="009B2400"/>
    <w:rsid w:val="009B29CA"/>
    <w:rsid w:val="009C2DA6"/>
    <w:rsid w:val="009E06C6"/>
    <w:rsid w:val="00A02FE4"/>
    <w:rsid w:val="00A13872"/>
    <w:rsid w:val="00A25842"/>
    <w:rsid w:val="00A73E8C"/>
    <w:rsid w:val="00A77916"/>
    <w:rsid w:val="00A866D5"/>
    <w:rsid w:val="00A97F80"/>
    <w:rsid w:val="00AB019D"/>
    <w:rsid w:val="00AB4196"/>
    <w:rsid w:val="00AE31B1"/>
    <w:rsid w:val="00B02AA8"/>
    <w:rsid w:val="00B10A02"/>
    <w:rsid w:val="00B2599B"/>
    <w:rsid w:val="00B4094F"/>
    <w:rsid w:val="00B63886"/>
    <w:rsid w:val="00B65B08"/>
    <w:rsid w:val="00B75343"/>
    <w:rsid w:val="00B77E67"/>
    <w:rsid w:val="00B8433A"/>
    <w:rsid w:val="00B94595"/>
    <w:rsid w:val="00BA0AA7"/>
    <w:rsid w:val="00BD4C11"/>
    <w:rsid w:val="00BD5C83"/>
    <w:rsid w:val="00BF4255"/>
    <w:rsid w:val="00BF4CB2"/>
    <w:rsid w:val="00C01351"/>
    <w:rsid w:val="00C15027"/>
    <w:rsid w:val="00C2763C"/>
    <w:rsid w:val="00C37F35"/>
    <w:rsid w:val="00C4272C"/>
    <w:rsid w:val="00C44F14"/>
    <w:rsid w:val="00C62222"/>
    <w:rsid w:val="00C76124"/>
    <w:rsid w:val="00C918C6"/>
    <w:rsid w:val="00CA5845"/>
    <w:rsid w:val="00CA6F31"/>
    <w:rsid w:val="00CB5F32"/>
    <w:rsid w:val="00CC0212"/>
    <w:rsid w:val="00CC7C49"/>
    <w:rsid w:val="00CD0EF2"/>
    <w:rsid w:val="00CD40F1"/>
    <w:rsid w:val="00CD53DC"/>
    <w:rsid w:val="00CE4069"/>
    <w:rsid w:val="00D11171"/>
    <w:rsid w:val="00D3567E"/>
    <w:rsid w:val="00D37CD5"/>
    <w:rsid w:val="00D4638C"/>
    <w:rsid w:val="00D505D7"/>
    <w:rsid w:val="00D71F45"/>
    <w:rsid w:val="00DC50AF"/>
    <w:rsid w:val="00DC7EEB"/>
    <w:rsid w:val="00DD1E79"/>
    <w:rsid w:val="00DF7CD0"/>
    <w:rsid w:val="00E07E15"/>
    <w:rsid w:val="00E10A9C"/>
    <w:rsid w:val="00E20937"/>
    <w:rsid w:val="00E60627"/>
    <w:rsid w:val="00E6360A"/>
    <w:rsid w:val="00E93C2C"/>
    <w:rsid w:val="00EA111B"/>
    <w:rsid w:val="00EA6BF3"/>
    <w:rsid w:val="00EB4A5C"/>
    <w:rsid w:val="00EB4BA4"/>
    <w:rsid w:val="00ED5819"/>
    <w:rsid w:val="00EF7566"/>
    <w:rsid w:val="00F01860"/>
    <w:rsid w:val="00F10C85"/>
    <w:rsid w:val="00F11538"/>
    <w:rsid w:val="00F14519"/>
    <w:rsid w:val="00F225B6"/>
    <w:rsid w:val="00F331B0"/>
    <w:rsid w:val="00F43791"/>
    <w:rsid w:val="00F50EDA"/>
    <w:rsid w:val="00F64559"/>
    <w:rsid w:val="00F77A8F"/>
    <w:rsid w:val="00FA590E"/>
    <w:rsid w:val="00FB1B03"/>
    <w:rsid w:val="00FC12EA"/>
    <w:rsid w:val="00FE1A92"/>
    <w:rsid w:val="00FE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1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1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11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11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11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11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11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11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11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5116EF"/>
    <w:pPr>
      <w:ind w:left="720"/>
      <w:contextualSpacing/>
    </w:pPr>
  </w:style>
  <w:style w:type="character" w:styleId="Enfasiintensa">
    <w:name w:val="Intense Emphasis"/>
    <w:basedOn w:val="Carpredefinitoparagrafo"/>
    <w:uiPriority w:val="21"/>
    <w:qFormat/>
    <w:rsid w:val="005116EF"/>
    <w:rPr>
      <w:i/>
      <w:iCs/>
      <w:color w:val="0F4761"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0F4761" w:themeColor="accent1" w:themeShade="BF"/>
    </w:rPr>
  </w:style>
  <w:style w:type="character" w:styleId="Riferimentointenso">
    <w:name w:val="Intense Reference"/>
    <w:basedOn w:val="Carpredefinitoparagrafo"/>
    <w:uiPriority w:val="32"/>
    <w:qFormat/>
    <w:rsid w:val="005116EF"/>
    <w:rPr>
      <w:b/>
      <w:bCs/>
      <w:smallCaps/>
      <w:color w:val="0F4761"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after="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after="100"/>
    </w:pPr>
    <w:rPr>
      <w:rFonts w:ascii="Cambria" w:eastAsia="MS Mincho" w:hAnsi="Cambria"/>
    </w:rPr>
  </w:style>
  <w:style w:type="paragraph" w:styleId="Sommario2">
    <w:name w:val="toc 2"/>
    <w:basedOn w:val="Normale"/>
    <w:next w:val="Normale"/>
    <w:autoRedefine/>
    <w:uiPriority w:val="39"/>
    <w:unhideWhenUsed/>
    <w:rsid w:val="005116EF"/>
    <w:pPr>
      <w:spacing w:after="100"/>
      <w:ind w:left="240"/>
    </w:pPr>
    <w:rPr>
      <w:rFonts w:ascii="Cambria" w:eastAsia="MS Mincho" w:hAnsi="Cambria"/>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arpredefinitoparagrafo"/>
    <w:uiPriority w:val="99"/>
    <w:unhideWhenUsed/>
    <w:qFormat/>
    <w:rsid w:val="005116EF"/>
    <w:rPr>
      <w:vertAlign w:val="superscript"/>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16EF"/>
    <w:pPr>
      <w:widowControl w:val="0"/>
      <w:autoSpaceDE w:val="0"/>
      <w:autoSpaceDN w:val="0"/>
    </w:pPr>
    <w:rPr>
      <w:rFonts w:ascii="Arial" w:eastAsia="Arial" w:hAnsi="Arial" w:cs="Arial"/>
      <w:sz w:val="16"/>
      <w:szCs w:val="16"/>
      <w:lang w:eastAsia="en-US"/>
    </w:rPr>
  </w:style>
  <w:style w:type="character" w:customStyle="1" w:styleId="CorpotestoCarattere">
    <w:name w:val="Corpo testo Carattere"/>
    <w:basedOn w:val="Carpredefinitoparagrafo"/>
    <w:link w:val="Corpotesto"/>
    <w:uiPriority w:val="1"/>
    <w:rsid w:val="005116EF"/>
    <w:rPr>
      <w:rFonts w:ascii="Arial" w:eastAsia="Arial" w:hAnsi="Arial" w:cs="Arial"/>
      <w:kern w:val="0"/>
      <w:sz w:val="16"/>
      <w:szCs w:val="16"/>
      <w14:ligatures w14:val="none"/>
    </w:rPr>
  </w:style>
  <w:style w:type="paragraph" w:customStyle="1" w:styleId="TableParagraph">
    <w:name w:val="Table Paragraph"/>
    <w:basedOn w:val="Normale"/>
    <w:uiPriority w:val="1"/>
    <w:qFormat/>
    <w:rsid w:val="005116EF"/>
    <w:pPr>
      <w:widowControl w:val="0"/>
      <w:autoSpaceDE w:val="0"/>
      <w:autoSpaceDN w:val="0"/>
    </w:pPr>
    <w:rPr>
      <w:rFonts w:ascii="Carlito" w:eastAsia="Carlito" w:hAnsi="Carlito" w:cs="Carlito"/>
      <w:sz w:val="22"/>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96607D" w:themeColor="followedHyperlink"/>
      <w:u w:val="single"/>
    </w:rPr>
  </w:style>
  <w:style w:type="table" w:customStyle="1" w:styleId="Grigliatabella1">
    <w:name w:val="Griglia tabella1"/>
    <w:basedOn w:val="Tabellanormale"/>
    <w:next w:val="Grigliatabella"/>
    <w:uiPriority w:val="5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425657150">
      <w:bodyDiv w:val="1"/>
      <w:marLeft w:val="0"/>
      <w:marRight w:val="0"/>
      <w:marTop w:val="0"/>
      <w:marBottom w:val="0"/>
      <w:divBdr>
        <w:top w:val="none" w:sz="0" w:space="0" w:color="auto"/>
        <w:left w:val="none" w:sz="0" w:space="0" w:color="auto"/>
        <w:bottom w:val="none" w:sz="0" w:space="0" w:color="auto"/>
        <w:right w:val="none" w:sz="0" w:space="0" w:color="auto"/>
      </w:divBdr>
    </w:div>
    <w:div w:id="70792030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936354678">
      <w:bodyDiv w:val="1"/>
      <w:marLeft w:val="0"/>
      <w:marRight w:val="0"/>
      <w:marTop w:val="0"/>
      <w:marBottom w:val="0"/>
      <w:divBdr>
        <w:top w:val="none" w:sz="0" w:space="0" w:color="auto"/>
        <w:left w:val="none" w:sz="0" w:space="0" w:color="auto"/>
        <w:bottom w:val="none" w:sz="0" w:space="0" w:color="auto"/>
        <w:right w:val="none" w:sz="0" w:space="0" w:color="auto"/>
      </w:divBdr>
    </w:div>
    <w:div w:id="2010014146">
      <w:bodyDiv w:val="1"/>
      <w:marLeft w:val="0"/>
      <w:marRight w:val="0"/>
      <w:marTop w:val="0"/>
      <w:marBottom w:val="0"/>
      <w:divBdr>
        <w:top w:val="none" w:sz="0" w:space="0" w:color="auto"/>
        <w:left w:val="none" w:sz="0" w:space="0" w:color="auto"/>
        <w:bottom w:val="none" w:sz="0" w:space="0" w:color="auto"/>
        <w:right w:val="none" w:sz="0" w:space="0" w:color="auto"/>
      </w:divBdr>
    </w:div>
    <w:div w:id="2143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39FE-FED3-4C2E-8709-8CDD98B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11278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2</cp:revision>
  <cp:lastPrinted>2025-07-28T08:54:00Z</cp:lastPrinted>
  <dcterms:created xsi:type="dcterms:W3CDTF">2025-12-09T08:51:00Z</dcterms:created>
  <dcterms:modified xsi:type="dcterms:W3CDTF">2025-12-09T08:51:00Z</dcterms:modified>
</cp:coreProperties>
</file>